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83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:rsidR="00585BCB" w:rsidRPr="002A5897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2A5897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 w:rsidP="006307B5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Academic Session 202</w:t>
            </w:r>
            <w:r w:rsidR="00991DD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991DD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 w:rsidP="006307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OVERVIEW</w:t>
            </w:r>
          </w:p>
        </w:tc>
      </w:tr>
      <w:tr w:rsidR="00585BCB" w:rsidTr="006307B5">
        <w:trPr>
          <w:trHeight w:val="413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683" w:type="dxa"/>
            <w:vAlign w:val="center"/>
          </w:tcPr>
          <w:p w:rsidR="00585BCB" w:rsidRDefault="00120F6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SCA, MRIIRS</w:t>
            </w:r>
          </w:p>
        </w:tc>
      </w:tr>
      <w:tr w:rsidR="00585BCB" w:rsidTr="006307B5">
        <w:trPr>
          <w:trHeight w:val="419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683" w:type="dxa"/>
            <w:vAlign w:val="center"/>
          </w:tcPr>
          <w:p w:rsidR="00585BCB" w:rsidRDefault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7B5">
              <w:rPr>
                <w:rFonts w:ascii="Times New Roman" w:eastAsia="Times New Roman" w:hAnsi="Times New Roman" w:cs="Times New Roman"/>
              </w:rPr>
              <w:t>https://manavrachna.edu.in/mriirs/school-of-computer-application</w:t>
            </w:r>
          </w:p>
        </w:tc>
      </w:tr>
      <w:tr w:rsidR="00585BCB" w:rsidTr="006307B5">
        <w:trPr>
          <w:trHeight w:val="411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683" w:type="dxa"/>
            <w:vAlign w:val="center"/>
          </w:tcPr>
          <w:p w:rsidR="00585BCB" w:rsidRDefault="00120F6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</w:t>
            </w:r>
          </w:p>
        </w:tc>
      </w:tr>
      <w:tr w:rsidR="00585BCB" w:rsidTr="006307B5">
        <w:trPr>
          <w:trHeight w:val="50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FC6CC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 of Computer Applications is one of the earliest ent</w:t>
            </w:r>
            <w:r>
              <w:rPr>
                <w:rFonts w:ascii="Times New Roman" w:eastAsia="Times New Roman" w:hAnsi="Times New Roman" w:cs="Times New Roman"/>
              </w:rPr>
              <w:t>ities of the university providing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 industry ready and research oriented computer education and applications through different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>. Currently it offers MCA, BCA, B.Sc. (Information Technology) with various specializations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Ph.D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 xml:space="preserve"> with latest industry-ready curriculum which is kept regularly updated in the light of latest developments in the IT industry.</w:t>
            </w:r>
            <w:r w:rsidR="008408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:rsidTr="006307B5">
        <w:trPr>
          <w:trHeight w:val="40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683" w:type="dxa"/>
            <w:vAlign w:val="center"/>
          </w:tcPr>
          <w:p w:rsidR="00585BCB" w:rsidRDefault="00325D3D">
            <w:pPr>
              <w:rPr>
                <w:rFonts w:ascii="Times New Roman" w:eastAsia="Times New Roman" w:hAnsi="Times New Roman" w:cs="Times New Roman"/>
              </w:rPr>
            </w:pPr>
            <w:r w:rsidRPr="00325D3D">
              <w:rPr>
                <w:rFonts w:ascii="Times New Roman" w:eastAsia="Times New Roman" w:hAnsi="Times New Roman" w:cs="Times New Roman"/>
              </w:rPr>
              <w:t>Research &amp; Teaching Associate</w:t>
            </w:r>
          </w:p>
        </w:tc>
      </w:tr>
      <w:tr w:rsidR="00585BCB" w:rsidTr="006307B5">
        <w:trPr>
          <w:trHeight w:val="42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683" w:type="dxa"/>
            <w:vAlign w:val="center"/>
          </w:tcPr>
          <w:p w:rsidR="00585BCB" w:rsidRDefault="00325D3D" w:rsidP="00325D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D3D">
              <w:rPr>
                <w:rFonts w:ascii="Times New Roman" w:eastAsia="Times New Roman" w:hAnsi="Times New Roman" w:cs="Times New Roman"/>
              </w:rPr>
              <w:t>The student will be involved in innovative projects, learning new technologies, filing patents, startup proposals etc. The student will get required guidance and support to learn along with internship tasks.</w:t>
            </w:r>
            <w:r>
              <w:rPr>
                <w:rFonts w:ascii="Times New Roman" w:eastAsia="Times New Roman" w:hAnsi="Times New Roman" w:cs="Times New Roman"/>
              </w:rPr>
              <w:t xml:space="preserve"> The student</w:t>
            </w:r>
            <w:r w:rsidRPr="00325D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also involve in</w:t>
            </w:r>
            <w:r w:rsidRPr="00325D3D">
              <w:rPr>
                <w:rFonts w:ascii="Times New Roman" w:eastAsia="Times New Roman" w:hAnsi="Times New Roman" w:cs="Times New Roman"/>
              </w:rPr>
              <w:t xml:space="preserve"> the development of teaching modules</w:t>
            </w:r>
          </w:p>
        </w:tc>
      </w:tr>
      <w:tr w:rsidR="00585BCB" w:rsidTr="006307B5">
        <w:trPr>
          <w:trHeight w:val="42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683" w:type="dxa"/>
            <w:vAlign w:val="center"/>
          </w:tcPr>
          <w:p w:rsidR="006307B5" w:rsidRDefault="006307B5" w:rsidP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Good Programming Skills</w:t>
            </w:r>
          </w:p>
          <w:p w:rsidR="006307B5" w:rsidRDefault="00325D3D" w:rsidP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D3D">
              <w:rPr>
                <w:rFonts w:ascii="Times New Roman" w:eastAsia="Times New Roman" w:hAnsi="Times New Roman" w:cs="Times New Roman"/>
              </w:rPr>
              <w:t>Analytical thinking</w:t>
            </w:r>
          </w:p>
          <w:p w:rsidR="006307B5" w:rsidRDefault="006307B5" w:rsidP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6307B5">
              <w:rPr>
                <w:rFonts w:ascii="Times New Roman" w:eastAsia="Times New Roman" w:hAnsi="Times New Roman" w:cs="Times New Roman"/>
              </w:rPr>
              <w:t>otiv</w:t>
            </w:r>
            <w:r>
              <w:rPr>
                <w:rFonts w:ascii="Times New Roman" w:eastAsia="Times New Roman" w:hAnsi="Times New Roman" w:cs="Times New Roman"/>
              </w:rPr>
              <w:t>ation to learn new technology</w:t>
            </w:r>
          </w:p>
          <w:p w:rsidR="00585BCB" w:rsidRDefault="006307B5" w:rsidP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Willing to work in the area of Security /Artificial Intelligence/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IoT</w:t>
            </w:r>
            <w:proofErr w:type="spellEnd"/>
          </w:p>
        </w:tc>
      </w:tr>
      <w:tr w:rsidR="00585BCB" w:rsidTr="006307B5">
        <w:trPr>
          <w:trHeight w:val="403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683" w:type="dxa"/>
            <w:vAlign w:val="center"/>
          </w:tcPr>
          <w:p w:rsidR="00585BCB" w:rsidRDefault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</w:t>
            </w:r>
          </w:p>
        </w:tc>
      </w:tr>
      <w:tr w:rsidR="00585BCB" w:rsidTr="006307B5">
        <w:trPr>
          <w:trHeight w:val="408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630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15, 2024 – Dec. 30, 2024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:rsidTr="006307B5">
        <w:trPr>
          <w:trHeight w:val="449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683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Eligible Courses/Branches  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64" w:rsidRDefault="00A23964">
      <w:pPr>
        <w:spacing w:after="0" w:line="240" w:lineRule="auto"/>
      </w:pPr>
      <w:r>
        <w:separator/>
      </w:r>
    </w:p>
  </w:endnote>
  <w:endnote w:type="continuationSeparator" w:id="0">
    <w:p w:rsidR="00A23964" w:rsidRDefault="00A2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64" w:rsidRDefault="00A23964">
      <w:pPr>
        <w:spacing w:after="0" w:line="240" w:lineRule="auto"/>
      </w:pPr>
      <w:r>
        <w:separator/>
      </w:r>
    </w:p>
  </w:footnote>
  <w:footnote w:type="continuationSeparator" w:id="0">
    <w:p w:rsidR="00A23964" w:rsidRDefault="00A2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120F61"/>
    <w:rsid w:val="002A5897"/>
    <w:rsid w:val="00325D3D"/>
    <w:rsid w:val="003659EB"/>
    <w:rsid w:val="00585BCB"/>
    <w:rsid w:val="006307B5"/>
    <w:rsid w:val="00741722"/>
    <w:rsid w:val="00787CCB"/>
    <w:rsid w:val="008408BF"/>
    <w:rsid w:val="00913313"/>
    <w:rsid w:val="00991DDB"/>
    <w:rsid w:val="00A23964"/>
    <w:rsid w:val="00BA4B82"/>
    <w:rsid w:val="00E372A8"/>
    <w:rsid w:val="00EF4198"/>
    <w:rsid w:val="00F0317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2024-05-30T08:40:00Z</dcterms:created>
  <dcterms:modified xsi:type="dcterms:W3CDTF">2024-05-30T08:40:00Z</dcterms:modified>
</cp:coreProperties>
</file>